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0469" w14:textId="16DD47A7" w:rsidR="00E011EB" w:rsidRDefault="00E011EB" w:rsidP="000372E0"/>
    <w:p w14:paraId="5CA7414F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b/>
          <w:bCs/>
          <w:sz w:val="22"/>
          <w:szCs w:val="22"/>
          <w:lang w:val="en-AU" w:eastAsia="en-US"/>
        </w:rPr>
        <w:t>Fact Sheet - Assessing the Benefits and Effectiveness of Product Stewardship</w:t>
      </w:r>
    </w:p>
    <w:p w14:paraId="17815B1A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val="en-AU" w:eastAsia="en-US"/>
        </w:rPr>
      </w:pPr>
      <w:r w:rsidRPr="000372E0">
        <w:rPr>
          <w:rFonts w:ascii="Calibri" w:eastAsia="Calibri" w:hAnsi="Calibri"/>
          <w:b/>
          <w:bCs/>
          <w:sz w:val="22"/>
          <w:szCs w:val="22"/>
          <w:u w:val="single"/>
          <w:lang w:val="en-AU" w:eastAsia="en-US"/>
        </w:rPr>
        <w:t xml:space="preserve">Project Context </w:t>
      </w:r>
    </w:p>
    <w:p w14:paraId="5890C165" w14:textId="3E0E9375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The Institute for Sustainable Futures (ISF) at the University of Technology Sydney along with the Product Stewardship Centre of Excellence, are conducting a research project to evaluate the </w:t>
      </w:r>
      <w:r w:rsidR="00851CE3">
        <w:rPr>
          <w:rFonts w:ascii="Calibri" w:eastAsia="Calibri" w:hAnsi="Calibri"/>
          <w:sz w:val="22"/>
          <w:szCs w:val="22"/>
          <w:lang w:val="en-AU" w:eastAsia="en-US"/>
        </w:rPr>
        <w:t xml:space="preserve">benefits and effectiveness 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of product stewardship </w:t>
      </w:r>
      <w:r w:rsidR="00851CE3">
        <w:rPr>
          <w:rFonts w:ascii="Calibri" w:eastAsia="Calibri" w:hAnsi="Calibri"/>
          <w:sz w:val="22"/>
          <w:szCs w:val="22"/>
          <w:lang w:val="en-AU" w:eastAsia="en-US"/>
        </w:rPr>
        <w:t>including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Extended Producer Responsibility (EPR) activities across Australia.</w:t>
      </w:r>
    </w:p>
    <w:p w14:paraId="44582E6F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Ipsos and Cox </w:t>
      </w:r>
      <w:proofErr w:type="spellStart"/>
      <w:r w:rsidRPr="000372E0">
        <w:rPr>
          <w:rFonts w:ascii="Calibri" w:eastAsia="Calibri" w:hAnsi="Calibri"/>
          <w:sz w:val="22"/>
          <w:szCs w:val="22"/>
          <w:lang w:val="en-AU" w:eastAsia="en-US"/>
        </w:rPr>
        <w:t>Inall</w:t>
      </w:r>
      <w:proofErr w:type="spellEnd"/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</w:t>
      </w:r>
      <w:proofErr w:type="spellStart"/>
      <w:r w:rsidRPr="000372E0">
        <w:rPr>
          <w:rFonts w:ascii="Calibri" w:eastAsia="Calibri" w:hAnsi="Calibri"/>
          <w:sz w:val="22"/>
          <w:szCs w:val="22"/>
          <w:lang w:val="en-AU" w:eastAsia="en-US"/>
        </w:rPr>
        <w:t>dentsu</w:t>
      </w:r>
      <w:proofErr w:type="spellEnd"/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have been contracted to assist with research activities. </w:t>
      </w:r>
    </w:p>
    <w:p w14:paraId="05FA4400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WSP Digital has been contracted to provide database capabilities and a digital public interface design and build. </w:t>
      </w:r>
    </w:p>
    <w:p w14:paraId="4CD196C1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val="en-AU" w:eastAsia="en-US"/>
        </w:rPr>
      </w:pPr>
      <w:r w:rsidRPr="000372E0">
        <w:rPr>
          <w:rFonts w:ascii="Calibri" w:eastAsia="Calibri" w:hAnsi="Calibri"/>
          <w:b/>
          <w:bCs/>
          <w:sz w:val="22"/>
          <w:szCs w:val="22"/>
          <w:u w:val="single"/>
          <w:lang w:val="en-AU" w:eastAsia="en-US"/>
        </w:rPr>
        <w:t>Why this project is needed</w:t>
      </w:r>
    </w:p>
    <w:p w14:paraId="1F9142AF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The project will inform policy makers, business, </w:t>
      </w:r>
      <w:proofErr w:type="gramStart"/>
      <w:r w:rsidRPr="000372E0">
        <w:rPr>
          <w:rFonts w:ascii="Calibri" w:eastAsia="Calibri" w:hAnsi="Calibri"/>
          <w:sz w:val="22"/>
          <w:szCs w:val="22"/>
          <w:lang w:val="en-AU" w:eastAsia="en-US"/>
        </w:rPr>
        <w:t>brands</w:t>
      </w:r>
      <w:proofErr w:type="gramEnd"/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and stewardship schemes of the contribution stewardship is making, how stewardship is measured and reported and what information about stewardship is valued.  </w:t>
      </w:r>
    </w:p>
    <w:p w14:paraId="22B7F284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The environmental, </w:t>
      </w:r>
      <w:proofErr w:type="gramStart"/>
      <w:r w:rsidRPr="000372E0">
        <w:rPr>
          <w:rFonts w:ascii="Calibri" w:eastAsia="Calibri" w:hAnsi="Calibri"/>
          <w:sz w:val="22"/>
          <w:szCs w:val="22"/>
          <w:lang w:val="en-AU" w:eastAsia="en-US"/>
        </w:rPr>
        <w:t>social</w:t>
      </w:r>
      <w:proofErr w:type="gramEnd"/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and economic benefits and effectiveness of product stewardship will be defined and assessed.</w:t>
      </w:r>
    </w:p>
    <w:p w14:paraId="05DF7B9D" w14:textId="3DDE79FE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The project is particularly interested in how stewardship activities are measured and reported on </w:t>
      </w:r>
      <w:r w:rsidR="00CB4ACB">
        <w:rPr>
          <w:rFonts w:ascii="Calibri" w:eastAsia="Calibri" w:hAnsi="Calibri"/>
          <w:sz w:val="22"/>
          <w:szCs w:val="22"/>
          <w:lang w:val="en-AU" w:eastAsia="en-US"/>
        </w:rPr>
        <w:t xml:space="preserve">by collective 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>schemes and within member companies or individual businesses</w:t>
      </w:r>
      <w:r w:rsidR="00851CE3">
        <w:rPr>
          <w:rFonts w:ascii="Calibri" w:eastAsia="Calibri" w:hAnsi="Calibri"/>
          <w:sz w:val="22"/>
          <w:szCs w:val="22"/>
          <w:lang w:val="en-AU" w:eastAsia="en-US"/>
        </w:rPr>
        <w:t xml:space="preserve"> championing their own stewardship initiatives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>.</w:t>
      </w:r>
    </w:p>
    <w:p w14:paraId="6995D85A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b/>
          <w:bCs/>
          <w:sz w:val="22"/>
          <w:szCs w:val="22"/>
          <w:u w:val="single"/>
          <w:lang w:val="en-AU" w:eastAsia="en-US"/>
        </w:rPr>
        <w:t xml:space="preserve">Deliverables and Outcomes </w:t>
      </w:r>
    </w:p>
    <w:p w14:paraId="3499D5E1" w14:textId="0E5B82FA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A major output will be the creation of a </w:t>
      </w:r>
      <w:bookmarkStart w:id="0" w:name="_Hlk94276607"/>
      <w:r w:rsidRPr="000372E0">
        <w:rPr>
          <w:rFonts w:ascii="Calibri" w:eastAsia="Calibri" w:hAnsi="Calibri"/>
          <w:b/>
          <w:bCs/>
          <w:sz w:val="22"/>
          <w:szCs w:val="22"/>
          <w:lang w:val="en-AU" w:eastAsia="en-US"/>
        </w:rPr>
        <w:t xml:space="preserve">Product Stewardship </w:t>
      </w:r>
      <w:r w:rsidR="00CB4ACB">
        <w:rPr>
          <w:rFonts w:ascii="Calibri" w:eastAsia="Calibri" w:hAnsi="Calibri"/>
          <w:b/>
          <w:bCs/>
          <w:sz w:val="22"/>
          <w:szCs w:val="22"/>
          <w:lang w:val="en-AU" w:eastAsia="en-US"/>
        </w:rPr>
        <w:t>Gateway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</w:t>
      </w:r>
      <w:bookmarkEnd w:id="0"/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which will house data about </w:t>
      </w:r>
      <w:r w:rsidR="00CB4ACB">
        <w:rPr>
          <w:rFonts w:ascii="Calibri" w:eastAsia="Calibri" w:hAnsi="Calibri"/>
          <w:sz w:val="22"/>
          <w:szCs w:val="22"/>
          <w:lang w:val="en-AU" w:eastAsia="en-US"/>
        </w:rPr>
        <w:t xml:space="preserve">collective 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schemes, businesses initiatives, product classes, industry and lifecycle coverage, </w:t>
      </w:r>
      <w:proofErr w:type="gramStart"/>
      <w:r w:rsidRPr="000372E0">
        <w:rPr>
          <w:rFonts w:ascii="Calibri" w:eastAsia="Calibri" w:hAnsi="Calibri"/>
          <w:sz w:val="22"/>
          <w:szCs w:val="22"/>
          <w:lang w:val="en-AU" w:eastAsia="en-US"/>
        </w:rPr>
        <w:t>benefits</w:t>
      </w:r>
      <w:proofErr w:type="gramEnd"/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and outcomes.</w:t>
      </w:r>
    </w:p>
    <w:p w14:paraId="0CAEE2C5" w14:textId="17AD62EF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The </w:t>
      </w:r>
      <w:r w:rsidR="00CB4ACB">
        <w:rPr>
          <w:rFonts w:ascii="Calibri" w:eastAsia="Calibri" w:hAnsi="Calibri"/>
          <w:sz w:val="22"/>
          <w:szCs w:val="22"/>
          <w:lang w:val="en-AU" w:eastAsia="en-US"/>
        </w:rPr>
        <w:t>Gateway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will be Australia’s first and most authoritative source of data and insight for stakeholders developing stewardship strategies.</w:t>
      </w:r>
    </w:p>
    <w:p w14:paraId="2C3E64BA" w14:textId="3086B29A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>Data</w:t>
      </w:r>
      <w:r w:rsidR="003907CB">
        <w:rPr>
          <w:rFonts w:ascii="Calibri" w:eastAsia="Calibri" w:hAnsi="Calibri"/>
          <w:sz w:val="22"/>
          <w:szCs w:val="22"/>
          <w:lang w:val="en-AU" w:eastAsia="en-US"/>
        </w:rPr>
        <w:t xml:space="preserve"> and project findings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will be brought to life with a series of case studies, fact sheets and a report on the </w:t>
      </w:r>
      <w:r w:rsidR="00CB4ACB" w:rsidRPr="00CB4ACB">
        <w:rPr>
          <w:rFonts w:ascii="Calibri" w:eastAsia="Calibri" w:hAnsi="Calibri"/>
          <w:sz w:val="22"/>
          <w:szCs w:val="22"/>
          <w:lang w:val="en-AU" w:eastAsia="en-US"/>
        </w:rPr>
        <w:t>effectiveness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of product stewardship across Australia. </w:t>
      </w:r>
    </w:p>
    <w:p w14:paraId="70AB0025" w14:textId="3A7E82A8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Webinars will be delivered to explain project findings and promote product stewardship and EPR awareness, with the aim to increase uptake and national implementation among relevant stakeholders. </w:t>
      </w:r>
    </w:p>
    <w:p w14:paraId="6B317DB4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>Subsets of the data on product stewardship will be made available online for businesses and consumers to provide useful information about product stewardship activities, actors, scheme effectiveness and resulting benefits.</w:t>
      </w:r>
    </w:p>
    <w:p w14:paraId="64B062BE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The project aims to encourage private business to engage with stewardship activities through existing, </w:t>
      </w:r>
      <w:proofErr w:type="gramStart"/>
      <w:r w:rsidRPr="000372E0">
        <w:rPr>
          <w:rFonts w:ascii="Calibri" w:eastAsia="Calibri" w:hAnsi="Calibri"/>
          <w:sz w:val="22"/>
          <w:szCs w:val="22"/>
          <w:lang w:val="en-AU" w:eastAsia="en-US"/>
        </w:rPr>
        <w:t>new</w:t>
      </w:r>
      <w:proofErr w:type="gramEnd"/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and emerging activities and actors along the supply chain to contribute to achieving Australia’s waste and environmental targets and treaty commitments.</w:t>
      </w:r>
    </w:p>
    <w:p w14:paraId="5DC8F2B5" w14:textId="7DA60F6A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Information will be shared through key communication channels such as the Product Stewardship Centre of Excellence’s website and </w:t>
      </w:r>
      <w:proofErr w:type="spellStart"/>
      <w:r w:rsidRPr="000372E0">
        <w:rPr>
          <w:rFonts w:ascii="Calibri" w:eastAsia="Calibri" w:hAnsi="Calibri"/>
          <w:sz w:val="22"/>
          <w:szCs w:val="22"/>
          <w:lang w:val="en-AU" w:eastAsia="en-US"/>
        </w:rPr>
        <w:t>eNewsletter</w:t>
      </w:r>
      <w:proofErr w:type="spellEnd"/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</w:t>
      </w:r>
      <w:r w:rsidRPr="000372E0">
        <w:rPr>
          <w:rFonts w:ascii="Calibri" w:eastAsia="Calibri" w:hAnsi="Calibri"/>
          <w:b/>
          <w:bCs/>
          <w:sz w:val="22"/>
          <w:szCs w:val="22"/>
          <w:lang w:val="en-AU" w:eastAsia="en-US"/>
        </w:rPr>
        <w:t>What Comes Around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, stakeholder channels, including the Australian Industry Group, Government and NGO channels and social media. </w:t>
      </w:r>
    </w:p>
    <w:p w14:paraId="0113E1E0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lastRenderedPageBreak/>
        <w:t>Data collected through this project will be processed into a government-accessible database.</w:t>
      </w:r>
    </w:p>
    <w:p w14:paraId="72CCF2DD" w14:textId="5A8A3D74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Data from this project published via the </w:t>
      </w:r>
      <w:r w:rsidRPr="000372E0">
        <w:rPr>
          <w:rFonts w:ascii="Calibri" w:eastAsia="Calibri" w:hAnsi="Calibri"/>
          <w:b/>
          <w:bCs/>
          <w:sz w:val="22"/>
          <w:szCs w:val="22"/>
          <w:lang w:val="en-AU" w:eastAsia="en-US"/>
        </w:rPr>
        <w:t xml:space="preserve">Product Stewardship </w:t>
      </w:r>
      <w:r w:rsidR="00CB4ACB">
        <w:rPr>
          <w:rFonts w:ascii="Calibri" w:eastAsia="Calibri" w:hAnsi="Calibri"/>
          <w:b/>
          <w:bCs/>
          <w:sz w:val="22"/>
          <w:szCs w:val="22"/>
          <w:lang w:val="en-AU" w:eastAsia="en-US"/>
        </w:rPr>
        <w:t>Gateway</w:t>
      </w: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will assist the making of informed policy and program decisions, investment decisions, and foster a broader strategic understanding of opportunities in stewardship. Well informed stakeholders will be more likely to collaborate and participate in stewardship activities. </w:t>
      </w:r>
    </w:p>
    <w:p w14:paraId="3B8DF3BC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The project’s initial phase will be completed on June 30, 2022. </w:t>
      </w:r>
    </w:p>
    <w:p w14:paraId="4FCC4472" w14:textId="10E963F6" w:rsid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</w:p>
    <w:p w14:paraId="64AC8644" w14:textId="77777777" w:rsidR="002F3F78" w:rsidRPr="000372E0" w:rsidRDefault="002F3F78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</w:p>
    <w:p w14:paraId="6A6A9863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</w:p>
    <w:p w14:paraId="1664F90A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b/>
          <w:bCs/>
          <w:sz w:val="22"/>
          <w:szCs w:val="22"/>
          <w:lang w:val="en-AU" w:eastAsia="en-US"/>
        </w:rPr>
        <w:t>Contact</w:t>
      </w:r>
    </w:p>
    <w:p w14:paraId="3AB2BDC3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b/>
          <w:bCs/>
          <w:sz w:val="22"/>
          <w:szCs w:val="22"/>
          <w:lang w:val="en-AU" w:eastAsia="en-US"/>
        </w:rPr>
        <w:t>Project Leader</w:t>
      </w:r>
    </w:p>
    <w:p w14:paraId="7626C677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>Dr Nick Florin</w:t>
      </w:r>
    </w:p>
    <w:p w14:paraId="4898C142" w14:textId="77777777" w:rsidR="000372E0" w:rsidRPr="000372E0" w:rsidRDefault="000372E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r w:rsidRPr="000372E0">
        <w:rPr>
          <w:rFonts w:ascii="Calibri" w:eastAsia="Calibri" w:hAnsi="Calibri"/>
          <w:sz w:val="22"/>
          <w:szCs w:val="22"/>
          <w:lang w:val="en-AU" w:eastAsia="en-US"/>
        </w:rPr>
        <w:t>UTS Institute for Sustainable Futures</w:t>
      </w:r>
    </w:p>
    <w:p w14:paraId="273AEEE6" w14:textId="77777777" w:rsidR="000372E0" w:rsidRPr="000372E0" w:rsidRDefault="00000000" w:rsidP="000372E0">
      <w:pPr>
        <w:spacing w:after="160" w:line="259" w:lineRule="auto"/>
        <w:rPr>
          <w:rFonts w:ascii="Calibri" w:eastAsia="Calibri" w:hAnsi="Calibri"/>
          <w:sz w:val="22"/>
          <w:szCs w:val="22"/>
          <w:lang w:val="en-AU" w:eastAsia="en-US"/>
        </w:rPr>
      </w:pPr>
      <w:hyperlink r:id="rId8" w:history="1">
        <w:r w:rsidR="000372E0" w:rsidRPr="000372E0">
          <w:rPr>
            <w:rFonts w:ascii="Calibri" w:eastAsia="Calibri" w:hAnsi="Calibri"/>
            <w:color w:val="0563C1"/>
            <w:sz w:val="22"/>
            <w:szCs w:val="22"/>
            <w:u w:val="single"/>
            <w:lang w:val="en-AU" w:eastAsia="en-US"/>
          </w:rPr>
          <w:t>nick.florin@uts.edu.au</w:t>
        </w:r>
      </w:hyperlink>
      <w:r w:rsidR="000372E0" w:rsidRPr="000372E0">
        <w:rPr>
          <w:rFonts w:ascii="Calibri" w:eastAsia="Calibri" w:hAnsi="Calibri"/>
          <w:sz w:val="22"/>
          <w:szCs w:val="22"/>
          <w:lang w:val="en-AU" w:eastAsia="en-US"/>
        </w:rPr>
        <w:t xml:space="preserve"> </w:t>
      </w:r>
    </w:p>
    <w:p w14:paraId="42128C90" w14:textId="77777777" w:rsidR="000372E0" w:rsidRPr="000372E0" w:rsidRDefault="000372E0" w:rsidP="000372E0"/>
    <w:sectPr w:rsidR="000372E0" w:rsidRPr="000372E0" w:rsidSect="00733F19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9059" w14:textId="77777777" w:rsidR="00A47A76" w:rsidRDefault="00A47A76" w:rsidP="00651337">
      <w:r>
        <w:separator/>
      </w:r>
    </w:p>
  </w:endnote>
  <w:endnote w:type="continuationSeparator" w:id="0">
    <w:p w14:paraId="1FB7195D" w14:textId="77777777" w:rsidR="00A47A76" w:rsidRDefault="00A47A76" w:rsidP="0065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4510" w14:textId="747877A2" w:rsidR="00725DB6" w:rsidRPr="00725DB6" w:rsidRDefault="000372E0" w:rsidP="003F7653">
    <w:pPr>
      <w:pStyle w:val="Footer"/>
      <w:tabs>
        <w:tab w:val="clear" w:pos="9026"/>
      </w:tabs>
      <w:rPr>
        <w:rFonts w:asciiTheme="majorHAnsi" w:hAnsiTheme="majorHAnsi"/>
        <w:sz w:val="18"/>
      </w:rPr>
    </w:pPr>
    <w:r>
      <w:rPr>
        <w:rFonts w:asciiTheme="majorHAnsi" w:hAnsiTheme="majorHAnsi"/>
        <w:color w:val="808080" w:themeColor="background1" w:themeShade="80"/>
        <w:sz w:val="18"/>
      </w:rPr>
      <w:tab/>
    </w:r>
    <w:r w:rsidR="00725DB6" w:rsidRPr="00725DB6">
      <w:rPr>
        <w:rFonts w:asciiTheme="majorHAnsi" w:hAnsiTheme="majorHAnsi"/>
        <w:sz w:val="18"/>
      </w:rPr>
      <w:t xml:space="preserve">Page </w:t>
    </w:r>
    <w:r w:rsidR="00725DB6" w:rsidRPr="00725DB6">
      <w:rPr>
        <w:rFonts w:asciiTheme="majorHAnsi" w:hAnsiTheme="majorHAnsi"/>
        <w:sz w:val="18"/>
      </w:rPr>
      <w:fldChar w:fldCharType="begin"/>
    </w:r>
    <w:r w:rsidR="00725DB6" w:rsidRPr="00725DB6">
      <w:rPr>
        <w:rFonts w:asciiTheme="majorHAnsi" w:hAnsiTheme="majorHAnsi"/>
        <w:sz w:val="18"/>
      </w:rPr>
      <w:instrText xml:space="preserve"> PAGE   \* MERGEFORMAT </w:instrText>
    </w:r>
    <w:r w:rsidR="00725DB6" w:rsidRPr="00725DB6">
      <w:rPr>
        <w:rFonts w:asciiTheme="majorHAnsi" w:hAnsiTheme="majorHAnsi"/>
        <w:sz w:val="18"/>
      </w:rPr>
      <w:fldChar w:fldCharType="separate"/>
    </w:r>
    <w:r w:rsidR="003F7653">
      <w:rPr>
        <w:rFonts w:asciiTheme="majorHAnsi" w:hAnsiTheme="majorHAnsi"/>
        <w:noProof/>
        <w:sz w:val="18"/>
      </w:rPr>
      <w:t>1</w:t>
    </w:r>
    <w:r w:rsidR="00725DB6" w:rsidRPr="00725DB6">
      <w:rPr>
        <w:rFonts w:asciiTheme="majorHAnsi" w:hAnsiTheme="majorHAnsi"/>
        <w:sz w:val="18"/>
      </w:rPr>
      <w:fldChar w:fldCharType="end"/>
    </w:r>
    <w:r w:rsidR="00725DB6" w:rsidRPr="00725DB6">
      <w:rPr>
        <w:rFonts w:asciiTheme="majorHAnsi" w:hAnsiTheme="majorHAnsi"/>
        <w:sz w:val="18"/>
      </w:rPr>
      <w:t>/</w:t>
    </w:r>
    <w:r w:rsidR="00725DB6" w:rsidRPr="00725DB6">
      <w:rPr>
        <w:rFonts w:asciiTheme="majorHAnsi" w:hAnsiTheme="majorHAnsi"/>
        <w:sz w:val="18"/>
      </w:rPr>
      <w:fldChar w:fldCharType="begin"/>
    </w:r>
    <w:r w:rsidR="00725DB6" w:rsidRPr="00725DB6">
      <w:rPr>
        <w:rFonts w:asciiTheme="majorHAnsi" w:hAnsiTheme="majorHAnsi"/>
        <w:sz w:val="18"/>
      </w:rPr>
      <w:instrText xml:space="preserve"> NUMPAGES   \* MERGEFORMAT </w:instrText>
    </w:r>
    <w:r w:rsidR="00725DB6" w:rsidRPr="00725DB6">
      <w:rPr>
        <w:rFonts w:asciiTheme="majorHAnsi" w:hAnsiTheme="majorHAnsi"/>
        <w:sz w:val="18"/>
      </w:rPr>
      <w:fldChar w:fldCharType="separate"/>
    </w:r>
    <w:r w:rsidR="003F7653">
      <w:rPr>
        <w:rFonts w:asciiTheme="majorHAnsi" w:hAnsiTheme="majorHAnsi"/>
        <w:noProof/>
        <w:sz w:val="18"/>
      </w:rPr>
      <w:t>3</w:t>
    </w:r>
    <w:r w:rsidR="00725DB6" w:rsidRPr="00725DB6">
      <w:rPr>
        <w:rFonts w:asciiTheme="majorHAnsi" w:hAnsiTheme="maj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7FAB" w14:textId="77777777" w:rsidR="00A47A76" w:rsidRDefault="00A47A76" w:rsidP="00651337">
      <w:r>
        <w:separator/>
      </w:r>
    </w:p>
  </w:footnote>
  <w:footnote w:type="continuationSeparator" w:id="0">
    <w:p w14:paraId="6A5676F9" w14:textId="77777777" w:rsidR="00A47A76" w:rsidRDefault="00A47A76" w:rsidP="0065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1C2B" w14:textId="77777777" w:rsidR="002F3F78" w:rsidRDefault="002F3F78">
    <w:pPr>
      <w:pStyle w:val="Header"/>
    </w:pPr>
    <w:r w:rsidRPr="002F3F78">
      <w:rPr>
        <w:noProof/>
      </w:rPr>
      <w:drawing>
        <wp:inline distT="0" distB="0" distL="0" distR="0" wp14:anchorId="5E506ED5" wp14:editId="20057284">
          <wp:extent cx="1230378" cy="541867"/>
          <wp:effectExtent l="0" t="0" r="1905" b="4445"/>
          <wp:docPr id="1" name="Picture 1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circ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07" cy="55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3F78">
      <w:t xml:space="preserve"> </w:t>
    </w:r>
  </w:p>
  <w:p w14:paraId="181C1B17" w14:textId="0B59E216" w:rsidR="005D3B6B" w:rsidRDefault="005D3B6B">
    <w:pPr>
      <w:pStyle w:val="Header"/>
    </w:pPr>
    <w:r w:rsidRPr="00BD0668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73ACF27" wp14:editId="0629F01A">
          <wp:simplePos x="0" y="0"/>
          <wp:positionH relativeFrom="page">
            <wp:posOffset>5080636</wp:posOffset>
          </wp:positionH>
          <wp:positionV relativeFrom="page">
            <wp:posOffset>319070</wp:posOffset>
          </wp:positionV>
          <wp:extent cx="1874224" cy="481943"/>
          <wp:effectExtent l="0" t="0" r="571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812" cy="484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02C"/>
    <w:multiLevelType w:val="hybridMultilevel"/>
    <w:tmpl w:val="514AEFB4"/>
    <w:lvl w:ilvl="0" w:tplc="1276B858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01796"/>
    <w:multiLevelType w:val="multilevel"/>
    <w:tmpl w:val="F5FC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C7D36"/>
    <w:multiLevelType w:val="hybridMultilevel"/>
    <w:tmpl w:val="7C74EA28"/>
    <w:lvl w:ilvl="0" w:tplc="1276B85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4EC"/>
    <w:multiLevelType w:val="multilevel"/>
    <w:tmpl w:val="84E4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73D52"/>
    <w:multiLevelType w:val="multilevel"/>
    <w:tmpl w:val="8B44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83058"/>
    <w:multiLevelType w:val="hybridMultilevel"/>
    <w:tmpl w:val="A0A41A7A"/>
    <w:lvl w:ilvl="0" w:tplc="F81279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5457"/>
    <w:multiLevelType w:val="multilevel"/>
    <w:tmpl w:val="C4EC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C3DE7"/>
    <w:multiLevelType w:val="multilevel"/>
    <w:tmpl w:val="E992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24257"/>
    <w:multiLevelType w:val="hybridMultilevel"/>
    <w:tmpl w:val="71B2570C"/>
    <w:lvl w:ilvl="0" w:tplc="3F6218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14FCA"/>
    <w:multiLevelType w:val="multilevel"/>
    <w:tmpl w:val="A0A41A7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F3CFC"/>
    <w:multiLevelType w:val="hybridMultilevel"/>
    <w:tmpl w:val="C3AAE6AA"/>
    <w:lvl w:ilvl="0" w:tplc="E28EF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048B7"/>
    <w:multiLevelType w:val="multilevel"/>
    <w:tmpl w:val="9D76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F620B"/>
    <w:multiLevelType w:val="hybridMultilevel"/>
    <w:tmpl w:val="790C1FCE"/>
    <w:lvl w:ilvl="0" w:tplc="F81279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451F9"/>
    <w:multiLevelType w:val="hybridMultilevel"/>
    <w:tmpl w:val="1F74FF80"/>
    <w:lvl w:ilvl="0" w:tplc="66068B32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90579"/>
    <w:multiLevelType w:val="hybridMultilevel"/>
    <w:tmpl w:val="4BA46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D39D9"/>
    <w:multiLevelType w:val="hybridMultilevel"/>
    <w:tmpl w:val="E14CA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D4926"/>
    <w:multiLevelType w:val="hybridMultilevel"/>
    <w:tmpl w:val="EE70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3676"/>
    <w:multiLevelType w:val="hybridMultilevel"/>
    <w:tmpl w:val="EC0C0CCE"/>
    <w:lvl w:ilvl="0" w:tplc="3F6218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07738"/>
    <w:multiLevelType w:val="multilevel"/>
    <w:tmpl w:val="514AEFB4"/>
    <w:lvl w:ilvl="0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EEE0E69"/>
    <w:multiLevelType w:val="hybridMultilevel"/>
    <w:tmpl w:val="80F23E8E"/>
    <w:lvl w:ilvl="0" w:tplc="66068B32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7B4D"/>
    <w:multiLevelType w:val="hybridMultilevel"/>
    <w:tmpl w:val="132E4A2A"/>
    <w:lvl w:ilvl="0" w:tplc="3F6218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9B4871"/>
    <w:multiLevelType w:val="hybridMultilevel"/>
    <w:tmpl w:val="C472D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0680241">
    <w:abstractNumId w:val="15"/>
  </w:num>
  <w:num w:numId="2" w16cid:durableId="175921992">
    <w:abstractNumId w:val="2"/>
  </w:num>
  <w:num w:numId="3" w16cid:durableId="505094939">
    <w:abstractNumId w:val="0"/>
  </w:num>
  <w:num w:numId="4" w16cid:durableId="1635063474">
    <w:abstractNumId w:val="18"/>
  </w:num>
  <w:num w:numId="5" w16cid:durableId="1715109750">
    <w:abstractNumId w:val="22"/>
  </w:num>
  <w:num w:numId="6" w16cid:durableId="540245655">
    <w:abstractNumId w:val="1"/>
  </w:num>
  <w:num w:numId="7" w16cid:durableId="492839091">
    <w:abstractNumId w:val="17"/>
  </w:num>
  <w:num w:numId="8" w16cid:durableId="66734195">
    <w:abstractNumId w:val="3"/>
  </w:num>
  <w:num w:numId="9" w16cid:durableId="89743846">
    <w:abstractNumId w:val="7"/>
  </w:num>
  <w:num w:numId="10" w16cid:durableId="1238324055">
    <w:abstractNumId w:val="4"/>
  </w:num>
  <w:num w:numId="11" w16cid:durableId="564530135">
    <w:abstractNumId w:val="6"/>
  </w:num>
  <w:num w:numId="12" w16cid:durableId="437529452">
    <w:abstractNumId w:val="21"/>
  </w:num>
  <w:num w:numId="13" w16cid:durableId="134220797">
    <w:abstractNumId w:val="11"/>
  </w:num>
  <w:num w:numId="14" w16cid:durableId="804154664">
    <w:abstractNumId w:val="8"/>
  </w:num>
  <w:num w:numId="15" w16cid:durableId="304897565">
    <w:abstractNumId w:val="12"/>
  </w:num>
  <w:num w:numId="16" w16cid:durableId="1212502202">
    <w:abstractNumId w:val="19"/>
  </w:num>
  <w:num w:numId="17" w16cid:durableId="1709448368">
    <w:abstractNumId w:val="5"/>
  </w:num>
  <w:num w:numId="18" w16cid:durableId="787432167">
    <w:abstractNumId w:val="9"/>
  </w:num>
  <w:num w:numId="19" w16cid:durableId="1605729680">
    <w:abstractNumId w:val="10"/>
  </w:num>
  <w:num w:numId="20" w16cid:durableId="1552427259">
    <w:abstractNumId w:val="16"/>
  </w:num>
  <w:num w:numId="21" w16cid:durableId="1481457848">
    <w:abstractNumId w:val="14"/>
  </w:num>
  <w:num w:numId="22" w16cid:durableId="1045904766">
    <w:abstractNumId w:val="20"/>
  </w:num>
  <w:num w:numId="23" w16cid:durableId="11028019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38"/>
    <w:rsid w:val="00006A8F"/>
    <w:rsid w:val="00006E15"/>
    <w:rsid w:val="000079D3"/>
    <w:rsid w:val="000108F7"/>
    <w:rsid w:val="000230B5"/>
    <w:rsid w:val="0003403C"/>
    <w:rsid w:val="000372E0"/>
    <w:rsid w:val="00050812"/>
    <w:rsid w:val="000516B6"/>
    <w:rsid w:val="000669AC"/>
    <w:rsid w:val="0007524D"/>
    <w:rsid w:val="000827EB"/>
    <w:rsid w:val="00083AA7"/>
    <w:rsid w:val="00083D55"/>
    <w:rsid w:val="00084961"/>
    <w:rsid w:val="00085504"/>
    <w:rsid w:val="00096584"/>
    <w:rsid w:val="000A4BCC"/>
    <w:rsid w:val="000C1933"/>
    <w:rsid w:val="000D34E8"/>
    <w:rsid w:val="000F15C7"/>
    <w:rsid w:val="000F1655"/>
    <w:rsid w:val="001106AA"/>
    <w:rsid w:val="00114F66"/>
    <w:rsid w:val="00124B31"/>
    <w:rsid w:val="00126DAA"/>
    <w:rsid w:val="00136682"/>
    <w:rsid w:val="001431C9"/>
    <w:rsid w:val="00150A3B"/>
    <w:rsid w:val="00151480"/>
    <w:rsid w:val="001530FE"/>
    <w:rsid w:val="00160250"/>
    <w:rsid w:val="00174481"/>
    <w:rsid w:val="00184E0D"/>
    <w:rsid w:val="001B2CDC"/>
    <w:rsid w:val="001B2E8C"/>
    <w:rsid w:val="001C442E"/>
    <w:rsid w:val="001C4837"/>
    <w:rsid w:val="001C76B4"/>
    <w:rsid w:val="001D0173"/>
    <w:rsid w:val="001D6A1A"/>
    <w:rsid w:val="001E22C6"/>
    <w:rsid w:val="001E57BD"/>
    <w:rsid w:val="001F429F"/>
    <w:rsid w:val="00211315"/>
    <w:rsid w:val="0021296B"/>
    <w:rsid w:val="0022482D"/>
    <w:rsid w:val="002301DE"/>
    <w:rsid w:val="00240B64"/>
    <w:rsid w:val="00245865"/>
    <w:rsid w:val="00247461"/>
    <w:rsid w:val="00251855"/>
    <w:rsid w:val="00251BB3"/>
    <w:rsid w:val="002522B9"/>
    <w:rsid w:val="00252B67"/>
    <w:rsid w:val="00263863"/>
    <w:rsid w:val="0027338D"/>
    <w:rsid w:val="00274FB5"/>
    <w:rsid w:val="00286256"/>
    <w:rsid w:val="00294DEE"/>
    <w:rsid w:val="002A3AC5"/>
    <w:rsid w:val="002A5BBD"/>
    <w:rsid w:val="002B6A01"/>
    <w:rsid w:val="002C0099"/>
    <w:rsid w:val="002C350A"/>
    <w:rsid w:val="002D2A1A"/>
    <w:rsid w:val="002D403B"/>
    <w:rsid w:val="002D41A5"/>
    <w:rsid w:val="002E6F94"/>
    <w:rsid w:val="002F2ADF"/>
    <w:rsid w:val="002F3F78"/>
    <w:rsid w:val="002F4138"/>
    <w:rsid w:val="00311FF0"/>
    <w:rsid w:val="00324E4B"/>
    <w:rsid w:val="003261AA"/>
    <w:rsid w:val="00335D33"/>
    <w:rsid w:val="00356302"/>
    <w:rsid w:val="0039001F"/>
    <w:rsid w:val="003907CB"/>
    <w:rsid w:val="003C0FC0"/>
    <w:rsid w:val="003C6CAF"/>
    <w:rsid w:val="003C7801"/>
    <w:rsid w:val="003D71C6"/>
    <w:rsid w:val="003E1ADC"/>
    <w:rsid w:val="003F7653"/>
    <w:rsid w:val="004024F9"/>
    <w:rsid w:val="0042147C"/>
    <w:rsid w:val="004245E3"/>
    <w:rsid w:val="0043163B"/>
    <w:rsid w:val="004411FC"/>
    <w:rsid w:val="0045326A"/>
    <w:rsid w:val="004560FF"/>
    <w:rsid w:val="004752D2"/>
    <w:rsid w:val="00480CC6"/>
    <w:rsid w:val="00494164"/>
    <w:rsid w:val="00495104"/>
    <w:rsid w:val="004B1553"/>
    <w:rsid w:val="004E2FE1"/>
    <w:rsid w:val="004F6ECF"/>
    <w:rsid w:val="004F7464"/>
    <w:rsid w:val="004F7808"/>
    <w:rsid w:val="0050775D"/>
    <w:rsid w:val="005142F7"/>
    <w:rsid w:val="00523C48"/>
    <w:rsid w:val="0052551D"/>
    <w:rsid w:val="00525DF9"/>
    <w:rsid w:val="00554147"/>
    <w:rsid w:val="005628DC"/>
    <w:rsid w:val="005713C6"/>
    <w:rsid w:val="00590909"/>
    <w:rsid w:val="00590A01"/>
    <w:rsid w:val="0059369E"/>
    <w:rsid w:val="00596DE9"/>
    <w:rsid w:val="005B2A56"/>
    <w:rsid w:val="005C7F6A"/>
    <w:rsid w:val="005D3B6B"/>
    <w:rsid w:val="005D6565"/>
    <w:rsid w:val="005F00C7"/>
    <w:rsid w:val="005F3004"/>
    <w:rsid w:val="005F3D71"/>
    <w:rsid w:val="00611931"/>
    <w:rsid w:val="00620A6C"/>
    <w:rsid w:val="00622B9B"/>
    <w:rsid w:val="00623396"/>
    <w:rsid w:val="00623C48"/>
    <w:rsid w:val="0063427E"/>
    <w:rsid w:val="00651337"/>
    <w:rsid w:val="00652F0E"/>
    <w:rsid w:val="00655549"/>
    <w:rsid w:val="0065674B"/>
    <w:rsid w:val="006569A4"/>
    <w:rsid w:val="006619C5"/>
    <w:rsid w:val="0066303E"/>
    <w:rsid w:val="006733FB"/>
    <w:rsid w:val="00691C4D"/>
    <w:rsid w:val="00694653"/>
    <w:rsid w:val="006A19D5"/>
    <w:rsid w:val="006A4538"/>
    <w:rsid w:val="006A5C23"/>
    <w:rsid w:val="006B1CBE"/>
    <w:rsid w:val="006B4B31"/>
    <w:rsid w:val="006B62BC"/>
    <w:rsid w:val="006B6A74"/>
    <w:rsid w:val="006B7D61"/>
    <w:rsid w:val="006C7B45"/>
    <w:rsid w:val="006E2663"/>
    <w:rsid w:val="006F0FF4"/>
    <w:rsid w:val="006F63A2"/>
    <w:rsid w:val="007106DF"/>
    <w:rsid w:val="00711CA0"/>
    <w:rsid w:val="00716C68"/>
    <w:rsid w:val="007259F1"/>
    <w:rsid w:val="00725DB6"/>
    <w:rsid w:val="007275FC"/>
    <w:rsid w:val="00733F19"/>
    <w:rsid w:val="007367D9"/>
    <w:rsid w:val="00737901"/>
    <w:rsid w:val="00737E70"/>
    <w:rsid w:val="0074047C"/>
    <w:rsid w:val="0074578B"/>
    <w:rsid w:val="0075253A"/>
    <w:rsid w:val="00754845"/>
    <w:rsid w:val="00754890"/>
    <w:rsid w:val="0077123C"/>
    <w:rsid w:val="00774661"/>
    <w:rsid w:val="00794F9B"/>
    <w:rsid w:val="007A3451"/>
    <w:rsid w:val="007C0FF4"/>
    <w:rsid w:val="007E03CD"/>
    <w:rsid w:val="007E354D"/>
    <w:rsid w:val="007F4F59"/>
    <w:rsid w:val="007F7C69"/>
    <w:rsid w:val="008037F5"/>
    <w:rsid w:val="00807D27"/>
    <w:rsid w:val="0082685B"/>
    <w:rsid w:val="00834168"/>
    <w:rsid w:val="00835AC9"/>
    <w:rsid w:val="00851CE3"/>
    <w:rsid w:val="00851E41"/>
    <w:rsid w:val="00870DD4"/>
    <w:rsid w:val="00876B3D"/>
    <w:rsid w:val="00884435"/>
    <w:rsid w:val="00892E06"/>
    <w:rsid w:val="00894ED3"/>
    <w:rsid w:val="0089764E"/>
    <w:rsid w:val="008C3EFF"/>
    <w:rsid w:val="008C78C8"/>
    <w:rsid w:val="008D001C"/>
    <w:rsid w:val="008D79AD"/>
    <w:rsid w:val="008E3C93"/>
    <w:rsid w:val="008F0C40"/>
    <w:rsid w:val="008F1493"/>
    <w:rsid w:val="009009DC"/>
    <w:rsid w:val="0090142E"/>
    <w:rsid w:val="00913110"/>
    <w:rsid w:val="009176F3"/>
    <w:rsid w:val="00921F8D"/>
    <w:rsid w:val="0092235A"/>
    <w:rsid w:val="00922738"/>
    <w:rsid w:val="009425BF"/>
    <w:rsid w:val="00950D10"/>
    <w:rsid w:val="00953103"/>
    <w:rsid w:val="00955CFD"/>
    <w:rsid w:val="00957A13"/>
    <w:rsid w:val="00966E89"/>
    <w:rsid w:val="009712A1"/>
    <w:rsid w:val="00975878"/>
    <w:rsid w:val="00982B81"/>
    <w:rsid w:val="009842D7"/>
    <w:rsid w:val="00992BE1"/>
    <w:rsid w:val="00993AB9"/>
    <w:rsid w:val="009A1318"/>
    <w:rsid w:val="009A1489"/>
    <w:rsid w:val="009C025B"/>
    <w:rsid w:val="009C2837"/>
    <w:rsid w:val="009C4C46"/>
    <w:rsid w:val="009C5063"/>
    <w:rsid w:val="009D25DC"/>
    <w:rsid w:val="009D3036"/>
    <w:rsid w:val="009D3E9B"/>
    <w:rsid w:val="009F5075"/>
    <w:rsid w:val="00A00C76"/>
    <w:rsid w:val="00A17165"/>
    <w:rsid w:val="00A17943"/>
    <w:rsid w:val="00A2731B"/>
    <w:rsid w:val="00A368D4"/>
    <w:rsid w:val="00A36C8E"/>
    <w:rsid w:val="00A41AED"/>
    <w:rsid w:val="00A43E45"/>
    <w:rsid w:val="00A4791A"/>
    <w:rsid w:val="00A47A76"/>
    <w:rsid w:val="00A5128E"/>
    <w:rsid w:val="00A65981"/>
    <w:rsid w:val="00A667BC"/>
    <w:rsid w:val="00A7399B"/>
    <w:rsid w:val="00A91689"/>
    <w:rsid w:val="00AD366D"/>
    <w:rsid w:val="00AD6258"/>
    <w:rsid w:val="00AE5638"/>
    <w:rsid w:val="00B028B4"/>
    <w:rsid w:val="00B049F0"/>
    <w:rsid w:val="00B04B23"/>
    <w:rsid w:val="00B104AC"/>
    <w:rsid w:val="00B1103F"/>
    <w:rsid w:val="00B4539F"/>
    <w:rsid w:val="00B634A8"/>
    <w:rsid w:val="00B763FA"/>
    <w:rsid w:val="00B940E3"/>
    <w:rsid w:val="00B974F0"/>
    <w:rsid w:val="00B976DB"/>
    <w:rsid w:val="00BA0DFF"/>
    <w:rsid w:val="00BB6242"/>
    <w:rsid w:val="00BC50E3"/>
    <w:rsid w:val="00BD3C5E"/>
    <w:rsid w:val="00BD4DD5"/>
    <w:rsid w:val="00C0566D"/>
    <w:rsid w:val="00C31DA0"/>
    <w:rsid w:val="00C506C3"/>
    <w:rsid w:val="00C507FD"/>
    <w:rsid w:val="00C63673"/>
    <w:rsid w:val="00C803B5"/>
    <w:rsid w:val="00C87196"/>
    <w:rsid w:val="00C90D88"/>
    <w:rsid w:val="00CA02C9"/>
    <w:rsid w:val="00CA576A"/>
    <w:rsid w:val="00CB4ACB"/>
    <w:rsid w:val="00CC22F9"/>
    <w:rsid w:val="00CC4E90"/>
    <w:rsid w:val="00CD0D87"/>
    <w:rsid w:val="00CE4287"/>
    <w:rsid w:val="00CE662C"/>
    <w:rsid w:val="00CF5A37"/>
    <w:rsid w:val="00CF5DFE"/>
    <w:rsid w:val="00CF5FBE"/>
    <w:rsid w:val="00D00709"/>
    <w:rsid w:val="00D02D4E"/>
    <w:rsid w:val="00D15FF4"/>
    <w:rsid w:val="00D17ADA"/>
    <w:rsid w:val="00D206D8"/>
    <w:rsid w:val="00D2476E"/>
    <w:rsid w:val="00D26263"/>
    <w:rsid w:val="00D31302"/>
    <w:rsid w:val="00D32304"/>
    <w:rsid w:val="00D324BE"/>
    <w:rsid w:val="00D331C6"/>
    <w:rsid w:val="00D338ED"/>
    <w:rsid w:val="00D41D52"/>
    <w:rsid w:val="00D56244"/>
    <w:rsid w:val="00D605C0"/>
    <w:rsid w:val="00D61B86"/>
    <w:rsid w:val="00D70DB6"/>
    <w:rsid w:val="00D74D9F"/>
    <w:rsid w:val="00D77E97"/>
    <w:rsid w:val="00D8138C"/>
    <w:rsid w:val="00DA4E9E"/>
    <w:rsid w:val="00DB01C7"/>
    <w:rsid w:val="00DB0C28"/>
    <w:rsid w:val="00DB221B"/>
    <w:rsid w:val="00DC1E99"/>
    <w:rsid w:val="00DC6139"/>
    <w:rsid w:val="00DD6DA6"/>
    <w:rsid w:val="00DE1122"/>
    <w:rsid w:val="00DE2519"/>
    <w:rsid w:val="00E011EB"/>
    <w:rsid w:val="00E02D09"/>
    <w:rsid w:val="00E062C7"/>
    <w:rsid w:val="00E2067D"/>
    <w:rsid w:val="00E4308F"/>
    <w:rsid w:val="00E53458"/>
    <w:rsid w:val="00E7085C"/>
    <w:rsid w:val="00E95A16"/>
    <w:rsid w:val="00EA597E"/>
    <w:rsid w:val="00EB0A4B"/>
    <w:rsid w:val="00EC3773"/>
    <w:rsid w:val="00EC6975"/>
    <w:rsid w:val="00ED44BC"/>
    <w:rsid w:val="00EF5A5B"/>
    <w:rsid w:val="00F03B22"/>
    <w:rsid w:val="00F065AD"/>
    <w:rsid w:val="00F20885"/>
    <w:rsid w:val="00F24DD3"/>
    <w:rsid w:val="00F47AA9"/>
    <w:rsid w:val="00F60D1C"/>
    <w:rsid w:val="00F655BC"/>
    <w:rsid w:val="00F70C36"/>
    <w:rsid w:val="00F72D51"/>
    <w:rsid w:val="00F77E11"/>
    <w:rsid w:val="00F83274"/>
    <w:rsid w:val="00F85393"/>
    <w:rsid w:val="00F9219D"/>
    <w:rsid w:val="00FA48A5"/>
    <w:rsid w:val="00FA69B8"/>
    <w:rsid w:val="00FB7098"/>
    <w:rsid w:val="00FD0F34"/>
    <w:rsid w:val="00FD7D7A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0D43"/>
  <w14:defaultImageDpi w14:val="32767"/>
  <w15:chartTrackingRefBased/>
  <w15:docId w15:val="{2A4C1959-E976-4921-B270-5A6D20E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A7"/>
    <w:pPr>
      <w:spacing w:line="276" w:lineRule="auto"/>
    </w:pPr>
    <w:rPr>
      <w:rFonts w:ascii="Arial" w:hAnsi="Arial" w:cs="Times New Roman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CBE"/>
    <w:pPr>
      <w:keepNext/>
      <w:keepLines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B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5255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507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507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B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251BB3"/>
  </w:style>
  <w:style w:type="character" w:styleId="Emphasis">
    <w:name w:val="Emphasis"/>
    <w:basedOn w:val="DefaultParagraphFont"/>
    <w:uiPriority w:val="20"/>
    <w:qFormat/>
    <w:rsid w:val="00251BB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51337"/>
  </w:style>
  <w:style w:type="character" w:customStyle="1" w:styleId="FootnoteTextChar">
    <w:name w:val="Footnote Text Char"/>
    <w:basedOn w:val="DefaultParagraphFont"/>
    <w:link w:val="FootnoteText"/>
    <w:uiPriority w:val="99"/>
    <w:rsid w:val="00651337"/>
  </w:style>
  <w:style w:type="character" w:styleId="FootnoteReference">
    <w:name w:val="footnote reference"/>
    <w:basedOn w:val="DefaultParagraphFont"/>
    <w:uiPriority w:val="99"/>
    <w:unhideWhenUsed/>
    <w:rsid w:val="0065133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37E70"/>
    <w:pPr>
      <w:spacing w:line="240" w:lineRule="auto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37E70"/>
    <w:rPr>
      <w:rFonts w:ascii="Arial" w:hAnsi="Arial"/>
      <w:sz w:val="18"/>
    </w:rPr>
  </w:style>
  <w:style w:type="character" w:styleId="EndnoteReference">
    <w:name w:val="endnote reference"/>
    <w:basedOn w:val="DefaultParagraphFont"/>
    <w:uiPriority w:val="99"/>
    <w:unhideWhenUsed/>
    <w:rsid w:val="00D77E9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7E9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C76B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4539F"/>
    <w:rPr>
      <w:rFonts w:asciiTheme="majorHAnsi" w:eastAsiaTheme="majorEastAsia" w:hAnsiTheme="majorHAnsi" w:cstheme="majorBidi"/>
      <w:b/>
      <w:color w:val="000000" w:themeColor="text1"/>
      <w:sz w:val="26"/>
      <w:lang w:val="en-AU" w:eastAsia="en-GB"/>
    </w:rPr>
  </w:style>
  <w:style w:type="table" w:styleId="TableGrid">
    <w:name w:val="Table Grid"/>
    <w:basedOn w:val="TableNormal"/>
    <w:uiPriority w:val="39"/>
    <w:rsid w:val="0062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3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18"/>
    <w:rPr>
      <w:rFonts w:ascii="Arial" w:hAnsi="Arial" w:cs="Times New Roman"/>
      <w:sz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13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18"/>
    <w:rPr>
      <w:rFonts w:ascii="Arial" w:hAnsi="Arial" w:cs="Times New Roman"/>
      <w:sz w:val="21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DB221B"/>
    <w:pPr>
      <w:tabs>
        <w:tab w:val="right" w:pos="9010"/>
      </w:tabs>
      <w:spacing w:before="16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0173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1D0173"/>
    <w:pPr>
      <w:ind w:left="420"/>
    </w:pPr>
  </w:style>
  <w:style w:type="paragraph" w:styleId="TOC4">
    <w:name w:val="toc 4"/>
    <w:basedOn w:val="Normal"/>
    <w:next w:val="Normal"/>
    <w:autoRedefine/>
    <w:uiPriority w:val="39"/>
    <w:unhideWhenUsed/>
    <w:rsid w:val="001D0173"/>
    <w:pPr>
      <w:ind w:left="630"/>
    </w:pPr>
  </w:style>
  <w:style w:type="paragraph" w:styleId="TOC5">
    <w:name w:val="toc 5"/>
    <w:basedOn w:val="Normal"/>
    <w:next w:val="Normal"/>
    <w:autoRedefine/>
    <w:uiPriority w:val="39"/>
    <w:unhideWhenUsed/>
    <w:rsid w:val="001D0173"/>
    <w:pPr>
      <w:ind w:left="840"/>
    </w:pPr>
  </w:style>
  <w:style w:type="paragraph" w:styleId="TOC6">
    <w:name w:val="toc 6"/>
    <w:basedOn w:val="Normal"/>
    <w:next w:val="Normal"/>
    <w:autoRedefine/>
    <w:uiPriority w:val="39"/>
    <w:unhideWhenUsed/>
    <w:rsid w:val="001D0173"/>
    <w:pPr>
      <w:ind w:left="1050"/>
    </w:pPr>
  </w:style>
  <w:style w:type="paragraph" w:styleId="TOC7">
    <w:name w:val="toc 7"/>
    <w:basedOn w:val="Normal"/>
    <w:next w:val="Normal"/>
    <w:autoRedefine/>
    <w:uiPriority w:val="39"/>
    <w:unhideWhenUsed/>
    <w:rsid w:val="001D0173"/>
    <w:pPr>
      <w:ind w:left="1260"/>
    </w:pPr>
  </w:style>
  <w:style w:type="paragraph" w:styleId="TOC8">
    <w:name w:val="toc 8"/>
    <w:basedOn w:val="Normal"/>
    <w:next w:val="Normal"/>
    <w:autoRedefine/>
    <w:uiPriority w:val="39"/>
    <w:unhideWhenUsed/>
    <w:rsid w:val="001D0173"/>
    <w:pPr>
      <w:ind w:left="1470"/>
    </w:pPr>
  </w:style>
  <w:style w:type="paragraph" w:styleId="TOC9">
    <w:name w:val="toc 9"/>
    <w:basedOn w:val="Normal"/>
    <w:next w:val="Normal"/>
    <w:autoRedefine/>
    <w:uiPriority w:val="39"/>
    <w:unhideWhenUsed/>
    <w:rsid w:val="001D0173"/>
    <w:pPr>
      <w:ind w:left="1680"/>
    </w:pPr>
  </w:style>
  <w:style w:type="paragraph" w:customStyle="1" w:styleId="DHHSbullet1">
    <w:name w:val="DHHS bullet 1"/>
    <w:basedOn w:val="Normal"/>
    <w:qFormat/>
    <w:rsid w:val="00F47AA9"/>
    <w:pPr>
      <w:numPr>
        <w:numId w:val="16"/>
      </w:numPr>
      <w:spacing w:after="40" w:line="270" w:lineRule="atLeast"/>
    </w:pPr>
    <w:rPr>
      <w:rFonts w:eastAsia="Times"/>
      <w:sz w:val="20"/>
      <w:szCs w:val="20"/>
      <w:lang w:val="en-AU" w:eastAsia="en-US"/>
    </w:rPr>
  </w:style>
  <w:style w:type="paragraph" w:customStyle="1" w:styleId="DHHStabletext">
    <w:name w:val="DHHS table text"/>
    <w:uiPriority w:val="3"/>
    <w:qFormat/>
    <w:rsid w:val="00F47AA9"/>
    <w:pPr>
      <w:spacing w:before="80" w:after="60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DHHSbullet2">
    <w:name w:val="DHHS bullet 2"/>
    <w:basedOn w:val="Normal"/>
    <w:uiPriority w:val="2"/>
    <w:qFormat/>
    <w:rsid w:val="00F47AA9"/>
    <w:pPr>
      <w:numPr>
        <w:ilvl w:val="2"/>
        <w:numId w:val="16"/>
      </w:numPr>
      <w:spacing w:after="40" w:line="270" w:lineRule="atLeast"/>
    </w:pPr>
    <w:rPr>
      <w:rFonts w:eastAsia="Times"/>
      <w:sz w:val="20"/>
      <w:szCs w:val="20"/>
      <w:lang w:val="en-AU" w:eastAsia="en-US"/>
    </w:rPr>
  </w:style>
  <w:style w:type="paragraph" w:customStyle="1" w:styleId="DHHSbullet1lastline">
    <w:name w:val="DHHS bullet 1 last line"/>
    <w:basedOn w:val="DHHSbullet1"/>
    <w:qFormat/>
    <w:rsid w:val="00F47AA9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F47AA9"/>
    <w:pPr>
      <w:numPr>
        <w:ilvl w:val="3"/>
      </w:numPr>
      <w:spacing w:after="120"/>
    </w:pPr>
  </w:style>
  <w:style w:type="paragraph" w:customStyle="1" w:styleId="DHHStablebullet">
    <w:name w:val="DHHS table bullet"/>
    <w:basedOn w:val="DHHStabletext"/>
    <w:uiPriority w:val="3"/>
    <w:qFormat/>
    <w:rsid w:val="00F47AA9"/>
    <w:pPr>
      <w:numPr>
        <w:ilvl w:val="6"/>
        <w:numId w:val="16"/>
      </w:numPr>
    </w:pPr>
  </w:style>
  <w:style w:type="numbering" w:customStyle="1" w:styleId="ZZBullets">
    <w:name w:val="ZZ Bullets"/>
    <w:rsid w:val="00F47AA9"/>
    <w:pPr>
      <w:numPr>
        <w:numId w:val="16"/>
      </w:numPr>
    </w:pPr>
  </w:style>
  <w:style w:type="paragraph" w:customStyle="1" w:styleId="DHHSbulletindent">
    <w:name w:val="DHHS bullet indent"/>
    <w:basedOn w:val="Normal"/>
    <w:uiPriority w:val="4"/>
    <w:rsid w:val="00F47AA9"/>
    <w:pPr>
      <w:numPr>
        <w:ilvl w:val="4"/>
        <w:numId w:val="16"/>
      </w:numPr>
      <w:spacing w:after="40" w:line="270" w:lineRule="atLeast"/>
    </w:pPr>
    <w:rPr>
      <w:rFonts w:eastAsia="Times"/>
      <w:sz w:val="20"/>
      <w:szCs w:val="20"/>
      <w:lang w:val="en-AU" w:eastAsia="en-US"/>
    </w:rPr>
  </w:style>
  <w:style w:type="paragraph" w:customStyle="1" w:styleId="DHHSbulletindentlastline">
    <w:name w:val="DHHS bullet indent last line"/>
    <w:basedOn w:val="Normal"/>
    <w:uiPriority w:val="4"/>
    <w:rsid w:val="00F47AA9"/>
    <w:pPr>
      <w:numPr>
        <w:ilvl w:val="5"/>
        <w:numId w:val="16"/>
      </w:numPr>
      <w:spacing w:after="120" w:line="270" w:lineRule="atLeast"/>
    </w:pPr>
    <w:rPr>
      <w:rFonts w:eastAsia="Times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E"/>
    <w:rPr>
      <w:rFonts w:ascii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florin@uts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657\Dropbox%20(UTS%20ISF)\Research%20Project%20Lifecycle\01%20-%20Tools%20-%20Working%20files\Ethics\Information%20sheet\Ethics%20-%20Research%20participant%20information%20sheet%20-%20201806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0CA4-2840-6547-BCAA-71B16773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C:\Users\000657\Dropbox (UTS ISF)\Research Project Lifecycle\01 - Tools - Working files\Ethics\Information sheet\Ethics - Research participant information sheet - 20180619.dotx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Archer</dc:creator>
  <cp:keywords/>
  <dc:description/>
  <cp:lastModifiedBy>Nick Florin</cp:lastModifiedBy>
  <cp:revision>3</cp:revision>
  <cp:lastPrinted>2022-08-30T03:38:00Z</cp:lastPrinted>
  <dcterms:created xsi:type="dcterms:W3CDTF">2022-08-30T03:38:00Z</dcterms:created>
  <dcterms:modified xsi:type="dcterms:W3CDTF">2022-08-30T04:17:00Z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4f0713-8a76-46fc-9033-3e1b6c45971d_Enabled">
    <vt:lpwstr>true</vt:lpwstr>
  </property>
  <property fmtid="{D5CDD505-2E9C-101B-9397-08002B2CF9AE}" pid="3" name="MSIP_Label_ba4f0713-8a76-46fc-9033-3e1b6c45971d_SetDate">
    <vt:lpwstr>2022-02-02T22:33:29Z</vt:lpwstr>
  </property>
  <property fmtid="{D5CDD505-2E9C-101B-9397-08002B2CF9AE}" pid="4" name="MSIP_Label_ba4f0713-8a76-46fc-9033-3e1b6c45971d_Method">
    <vt:lpwstr>Privileged</vt:lpwstr>
  </property>
  <property fmtid="{D5CDD505-2E9C-101B-9397-08002B2CF9AE}" pid="5" name="MSIP_Label_ba4f0713-8a76-46fc-9033-3e1b6c45971d_Name">
    <vt:lpwstr>UTS-Public</vt:lpwstr>
  </property>
  <property fmtid="{D5CDD505-2E9C-101B-9397-08002B2CF9AE}" pid="6" name="MSIP_Label_ba4f0713-8a76-46fc-9033-3e1b6c45971d_SiteId">
    <vt:lpwstr>e8911c26-cf9f-4a9c-878e-527807be8791</vt:lpwstr>
  </property>
  <property fmtid="{D5CDD505-2E9C-101B-9397-08002B2CF9AE}" pid="7" name="MSIP_Label_ba4f0713-8a76-46fc-9033-3e1b6c45971d_ActionId">
    <vt:lpwstr>139d510e-7ba9-4fcb-99fd-772999ccf106</vt:lpwstr>
  </property>
  <property fmtid="{D5CDD505-2E9C-101B-9397-08002B2CF9AE}" pid="8" name="MSIP_Label_ba4f0713-8a76-46fc-9033-3e1b6c45971d_ContentBits">
    <vt:lpwstr>0</vt:lpwstr>
  </property>
</Properties>
</file>